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5CE93B" w14:textId="77777777" w:rsidR="00DC71A0" w:rsidRPr="00672599" w:rsidRDefault="00DC71A0" w:rsidP="00DC71A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672599">
        <w:rPr>
          <w:rFonts w:ascii="Times New Roman" w:eastAsia="Times New Roman" w:hAnsi="Times New Roman" w:cs="Times New Roman"/>
          <w:b/>
          <w:bCs/>
          <w:kern w:val="36"/>
          <w:sz w:val="48"/>
          <w:szCs w:val="48"/>
          <w:lang w:eastAsia="en-GB"/>
          <w14:ligatures w14:val="none"/>
        </w:rPr>
        <w:t>Relational Ontology and the Problem of “Quasi-Causality” in Human Communion</w:t>
      </w:r>
    </w:p>
    <w:p w14:paraId="057D638A" w14:textId="1B4C1B2D"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is a particular privilege to speak about Metropolitan John Zizioulas in the presence of scholars who have devoted so much of their work to his thought.</w:t>
      </w:r>
    </w:p>
    <w:p w14:paraId="2D9A4F3F" w14:textId="77777777" w:rsidR="00672599" w:rsidRPr="00672599" w:rsidRDefault="00672599" w:rsidP="00672599">
      <w:pPr>
        <w:spacing w:before="100" w:beforeAutospacing="1" w:after="100" w:afterAutospacing="1" w:line="240" w:lineRule="auto"/>
        <w:outlineLvl w:val="1"/>
        <w:rPr>
          <w:rFonts w:ascii="Times New Roman" w:hAnsi="Times New Roman" w:cs="Times New Roman"/>
        </w:rPr>
      </w:pPr>
      <w:r w:rsidRPr="00672599">
        <w:rPr>
          <w:rFonts w:ascii="Times New Roman" w:hAnsi="Times New Roman" w:cs="Times New Roman"/>
        </w:rPr>
        <w:t>For some of us, his theology has become not only a subject of study, but a way of asking questions about existence itself.</w:t>
      </w:r>
    </w:p>
    <w:p w14:paraId="1846EFC6" w14:textId="1D53A980"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Drawing on the Cappadocian Fathers, St Maximus the Confessor, and the wider tradition of the Eastern Church, he developed a theological vision that continues to challenge us.</w:t>
      </w:r>
    </w:p>
    <w:p w14:paraId="05A25038" w14:textId="19817B81"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perhaps the best way to honour a great theologian is not only to repeat his answers, but also to take his questions seriously enough to ask new ones.</w:t>
      </w:r>
    </w:p>
    <w:p w14:paraId="06F3DB9E" w14:textId="176BD1F1"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My question today arises from within Zizioulas’s own theology.</w:t>
      </w:r>
    </w:p>
    <w:p w14:paraId="40697A72" w14:textId="1E61C85E"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personal existence is a gift, and if personhood is inseparable from communion, what exactly does another human person give me? Does the Other affirm my unique identity, or does the Other, in some sense, cause it?</w:t>
      </w:r>
    </w:p>
    <w:p w14:paraId="298B3378" w14:textId="77777777"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would like to explore a possible ambiguity in the language of personal causality, and to ask whether Zizioulas’s own Trinitarian, Christological, and Eucharistic theology offers a way to resolve it.</w:t>
      </w:r>
    </w:p>
    <w:p w14:paraId="5C424414" w14:textId="77777777"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p>
    <w:p w14:paraId="2F4AEFDF" w14:textId="77777777" w:rsidR="00672599" w:rsidRPr="00672599" w:rsidRDefault="00672599" w:rsidP="00672599">
      <w:pPr>
        <w:spacing w:before="100" w:beforeAutospacing="1" w:after="100" w:afterAutospacing="1" w:line="240" w:lineRule="auto"/>
        <w:outlineLvl w:val="1"/>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My purpose is not to weaken his relational ontology, but to ask whether one distinction may be necessary in order to protect it: the distinction between the cause of personal being and the communion in which personal being is lived.</w:t>
      </w:r>
    </w:p>
    <w:p w14:paraId="70512E91" w14:textId="6699A48F" w:rsidR="00DC71A0" w:rsidRPr="00672599" w:rsidRDefault="00DC71A0" w:rsidP="00672599">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1. The Father as Cause</w:t>
      </w:r>
    </w:p>
    <w:p w14:paraId="7574639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starting point must be Zizioulas’s Trinitarian ontology.</w:t>
      </w:r>
    </w:p>
    <w:p w14:paraId="0D1E704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For him, the divine persons do not receive their personal identity from an impersonal divine substance. The Father is the </w:t>
      </w:r>
      <w:r w:rsidRPr="00672599">
        <w:rPr>
          <w:rFonts w:ascii="Times New Roman" w:eastAsia="Times New Roman" w:hAnsi="Times New Roman" w:cs="Times New Roman"/>
          <w:i/>
          <w:iCs/>
          <w:kern w:val="0"/>
          <w:lang w:eastAsia="en-GB"/>
          <w14:ligatures w14:val="none"/>
        </w:rPr>
        <w:t>aitia</w:t>
      </w:r>
      <w:r w:rsidRPr="00672599">
        <w:rPr>
          <w:rFonts w:ascii="Times New Roman" w:eastAsia="Times New Roman" w:hAnsi="Times New Roman" w:cs="Times New Roman"/>
          <w:kern w:val="0"/>
          <w:lang w:eastAsia="en-GB"/>
          <w14:ligatures w14:val="none"/>
        </w:rPr>
        <w:t>, the cause, of the personal existence of the Son and of the Holy Spirit.</w:t>
      </w:r>
    </w:p>
    <w:p w14:paraId="63C713F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point is decisive. The Father is not simply one relation among three equivalent relations. The monarchy of the Father means that personal causality has a concrete hypostatic source.</w:t>
      </w:r>
    </w:p>
    <w:p w14:paraId="6755A3F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Zizioulas himself insists that anthropology must learn from this Trinitarian ontology, and not the other way around. We must not project our experience of human personhood into God. Rather, the divine mode of existence must illuminate what true human personhood can mean. en John-Zizioulas-Communion-and…</w:t>
      </w:r>
    </w:p>
    <w:p w14:paraId="5B807EF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This leads Zizioulas to a powerful rejection of self-causation.</w:t>
      </w:r>
    </w:p>
    <w:p w14:paraId="6B93BF1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No person is self-existent. No person can be the ontological explanation of himself. Personhood is gift.</w:t>
      </w:r>
    </w:p>
    <w:p w14:paraId="1E15DA4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regard this as fundamental.</w:t>
      </w:r>
    </w:p>
    <w:p w14:paraId="4762927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self must cease to treat itself as the source of its own being. Freedom is therefore not self-production. Personhood is not the achievement of an autonomous individual who finally succeeds in constructing himself.</w:t>
      </w:r>
    </w:p>
    <w:p w14:paraId="2B9957B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at precisely this point a question appears.</w:t>
      </w:r>
    </w:p>
    <w:p w14:paraId="34C7C13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I am not the cause of myself, does it follow that another human person is, in some sense, the cause of who I am?</w:t>
      </w:r>
    </w:p>
    <w:p w14:paraId="6E4BD608"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2. The Strong Language of the Human Other</w:t>
      </w:r>
    </w:p>
    <w:p w14:paraId="6E5EF18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There are passages in </w:t>
      </w:r>
      <w:r w:rsidRPr="00672599">
        <w:rPr>
          <w:rFonts w:ascii="Times New Roman" w:eastAsia="Times New Roman" w:hAnsi="Times New Roman" w:cs="Times New Roman"/>
          <w:i/>
          <w:iCs/>
          <w:kern w:val="0"/>
          <w:lang w:eastAsia="en-GB"/>
          <w14:ligatures w14:val="none"/>
        </w:rPr>
        <w:t>Communion and Otherness</w:t>
      </w:r>
      <w:r w:rsidRPr="00672599">
        <w:rPr>
          <w:rFonts w:ascii="Times New Roman" w:eastAsia="Times New Roman" w:hAnsi="Times New Roman" w:cs="Times New Roman"/>
          <w:kern w:val="0"/>
          <w:lang w:eastAsia="en-GB"/>
          <w14:ligatures w14:val="none"/>
        </w:rPr>
        <w:t xml:space="preserve"> in which Zizioulas comes remarkably close to saying exactly this.</w:t>
      </w:r>
    </w:p>
    <w:p w14:paraId="4B65D02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 his discussion of the anthropological consequences of the Father as cause, he writes that persons have a “cause”; that they owe their distinctive otherness as persons “to another person”; and finally:</w:t>
      </w:r>
    </w:p>
    <w:p w14:paraId="1BEEE32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“Ontologically, persons are givers and recipients of personal identity.”</w:t>
      </w:r>
    </w:p>
    <w:p w14:paraId="368CFC20" w14:textId="05DF566F"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This is a very strong statement. </w:t>
      </w:r>
    </w:p>
    <w:p w14:paraId="59B130D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Elsewhere the language becomes stronger still.</w:t>
      </w:r>
    </w:p>
    <w:p w14:paraId="7DAC74EF" w14:textId="64038BD1"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Zizioulas writes that in a personal ontology “the Other causes someone or something to be ‘other’ or particular.” He describes love as a call that gives someone a unique identity. The beloved is unique because he or she is the beloved of someone. Beings exist as particular beings, he says, as gifts of the Other, who grants them identity through a unique relation. </w:t>
      </w:r>
    </w:p>
    <w:p w14:paraId="5C0EEF2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He then proposes a striking reformulation of the Cartesian </w:t>
      </w:r>
      <w:r w:rsidRPr="00672599">
        <w:rPr>
          <w:rFonts w:ascii="Times New Roman" w:eastAsia="Times New Roman" w:hAnsi="Times New Roman" w:cs="Times New Roman"/>
          <w:i/>
          <w:iCs/>
          <w:kern w:val="0"/>
          <w:lang w:eastAsia="en-GB"/>
          <w14:ligatures w14:val="none"/>
        </w:rPr>
        <w:t>cogito</w:t>
      </w:r>
      <w:r w:rsidRPr="00672599">
        <w:rPr>
          <w:rFonts w:ascii="Times New Roman" w:eastAsia="Times New Roman" w:hAnsi="Times New Roman" w:cs="Times New Roman"/>
          <w:kern w:val="0"/>
          <w:lang w:eastAsia="en-GB"/>
          <w14:ligatures w14:val="none"/>
        </w:rPr>
        <w:t>. It is not “I think, therefore I am.” It is not even “I love, therefore I am.” The proper formula is:</w:t>
      </w:r>
    </w:p>
    <w:p w14:paraId="43FAA96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am loved, therefore I am.”</w:t>
      </w:r>
    </w:p>
    <w:p w14:paraId="0240B6C6" w14:textId="7717CEEA"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And he adds that if love does not grant or “cause” a unique identity, it is not true love. </w:t>
      </w:r>
    </w:p>
    <w:p w14:paraId="07B076D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We should not weaken these sentences before asking what they mean.</w:t>
      </w:r>
    </w:p>
    <w:p w14:paraId="17CADBD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Zizioulas does not simply say that another person recognizes an identity that already exists. His verbs are stronger: </w:t>
      </w:r>
      <w:r w:rsidRPr="00672599">
        <w:rPr>
          <w:rFonts w:ascii="Times New Roman" w:eastAsia="Times New Roman" w:hAnsi="Times New Roman" w:cs="Times New Roman"/>
          <w:i/>
          <w:iCs/>
          <w:kern w:val="0"/>
          <w:lang w:eastAsia="en-GB"/>
          <w14:ligatures w14:val="none"/>
        </w:rPr>
        <w:t>give</w:t>
      </w:r>
      <w:r w:rsidRPr="00672599">
        <w:rPr>
          <w:rFonts w:ascii="Times New Roman" w:eastAsia="Times New Roman" w:hAnsi="Times New Roman" w:cs="Times New Roman"/>
          <w:kern w:val="0"/>
          <w:lang w:eastAsia="en-GB"/>
          <w14:ligatures w14:val="none"/>
        </w:rPr>
        <w:t xml:space="preserve">, </w:t>
      </w:r>
      <w:r w:rsidRPr="00672599">
        <w:rPr>
          <w:rFonts w:ascii="Times New Roman" w:eastAsia="Times New Roman" w:hAnsi="Times New Roman" w:cs="Times New Roman"/>
          <w:i/>
          <w:iCs/>
          <w:kern w:val="0"/>
          <w:lang w:eastAsia="en-GB"/>
          <w14:ligatures w14:val="none"/>
        </w:rPr>
        <w:t>grant</w:t>
      </w:r>
      <w:r w:rsidRPr="00672599">
        <w:rPr>
          <w:rFonts w:ascii="Times New Roman" w:eastAsia="Times New Roman" w:hAnsi="Times New Roman" w:cs="Times New Roman"/>
          <w:kern w:val="0"/>
          <w:lang w:eastAsia="en-GB"/>
          <w14:ligatures w14:val="none"/>
        </w:rPr>
        <w:t xml:space="preserve">, </w:t>
      </w:r>
      <w:r w:rsidRPr="00672599">
        <w:rPr>
          <w:rFonts w:ascii="Times New Roman" w:eastAsia="Times New Roman" w:hAnsi="Times New Roman" w:cs="Times New Roman"/>
          <w:i/>
          <w:iCs/>
          <w:kern w:val="0"/>
          <w:lang w:eastAsia="en-GB"/>
          <w14:ligatures w14:val="none"/>
        </w:rPr>
        <w:t>cause</w:t>
      </w:r>
      <w:r w:rsidRPr="00672599">
        <w:rPr>
          <w:rFonts w:ascii="Times New Roman" w:eastAsia="Times New Roman" w:hAnsi="Times New Roman" w:cs="Times New Roman"/>
          <w:kern w:val="0"/>
          <w:lang w:eastAsia="en-GB"/>
          <w14:ligatures w14:val="none"/>
        </w:rPr>
        <w:t xml:space="preserve">, </w:t>
      </w:r>
      <w:r w:rsidRPr="00672599">
        <w:rPr>
          <w:rFonts w:ascii="Times New Roman" w:eastAsia="Times New Roman" w:hAnsi="Times New Roman" w:cs="Times New Roman"/>
          <w:i/>
          <w:iCs/>
          <w:kern w:val="0"/>
          <w:lang w:eastAsia="en-GB"/>
          <w14:ligatures w14:val="none"/>
        </w:rPr>
        <w:t>constitute</w:t>
      </w:r>
      <w:r w:rsidRPr="00672599">
        <w:rPr>
          <w:rFonts w:ascii="Times New Roman" w:eastAsia="Times New Roman" w:hAnsi="Times New Roman" w:cs="Times New Roman"/>
          <w:kern w:val="0"/>
          <w:lang w:eastAsia="en-GB"/>
          <w14:ligatures w14:val="none"/>
        </w:rPr>
        <w:t>.</w:t>
      </w:r>
    </w:p>
    <w:p w14:paraId="5C607C2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This is where I would like to introduce the term </w:t>
      </w:r>
      <w:r w:rsidRPr="00672599">
        <w:rPr>
          <w:rFonts w:ascii="Times New Roman" w:eastAsia="Times New Roman" w:hAnsi="Times New Roman" w:cs="Times New Roman"/>
          <w:b/>
          <w:bCs/>
          <w:kern w:val="0"/>
          <w:lang w:eastAsia="en-GB"/>
          <w14:ligatures w14:val="none"/>
        </w:rPr>
        <w:t>quasi-causality</w:t>
      </w:r>
      <w:r w:rsidRPr="00672599">
        <w:rPr>
          <w:rFonts w:ascii="Times New Roman" w:eastAsia="Times New Roman" w:hAnsi="Times New Roman" w:cs="Times New Roman"/>
          <w:kern w:val="0"/>
          <w:lang w:eastAsia="en-GB"/>
          <w14:ligatures w14:val="none"/>
        </w:rPr>
        <w:t>.</w:t>
      </w:r>
    </w:p>
    <w:p w14:paraId="7C87791B"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 xml:space="preserve">I do not claim that Zizioulas explicitly makes one human hypostasis the </w:t>
      </w:r>
      <w:r w:rsidRPr="00672599">
        <w:rPr>
          <w:rFonts w:ascii="Times New Roman" w:eastAsia="Times New Roman" w:hAnsi="Times New Roman" w:cs="Times New Roman"/>
          <w:i/>
          <w:iCs/>
          <w:kern w:val="0"/>
          <w:lang w:eastAsia="en-GB"/>
          <w14:ligatures w14:val="none"/>
        </w:rPr>
        <w:t>aitia</w:t>
      </w:r>
      <w:r w:rsidRPr="00672599">
        <w:rPr>
          <w:rFonts w:ascii="Times New Roman" w:eastAsia="Times New Roman" w:hAnsi="Times New Roman" w:cs="Times New Roman"/>
          <w:kern w:val="0"/>
          <w:lang w:eastAsia="en-GB"/>
          <w14:ligatures w14:val="none"/>
        </w:rPr>
        <w:t xml:space="preserve"> of another in the same sense in which the Father is the </w:t>
      </w:r>
      <w:r w:rsidRPr="00672599">
        <w:rPr>
          <w:rFonts w:ascii="Times New Roman" w:eastAsia="Times New Roman" w:hAnsi="Times New Roman" w:cs="Times New Roman"/>
          <w:i/>
          <w:iCs/>
          <w:kern w:val="0"/>
          <w:lang w:eastAsia="en-GB"/>
          <w14:ligatures w14:val="none"/>
        </w:rPr>
        <w:t>aitia</w:t>
      </w:r>
      <w:r w:rsidRPr="00672599">
        <w:rPr>
          <w:rFonts w:ascii="Times New Roman" w:eastAsia="Times New Roman" w:hAnsi="Times New Roman" w:cs="Times New Roman"/>
          <w:kern w:val="0"/>
          <w:lang w:eastAsia="en-GB"/>
          <w14:ligatures w14:val="none"/>
        </w:rPr>
        <w:t xml:space="preserve"> of the Son and the Spirit. He does not say this.</w:t>
      </w:r>
    </w:p>
    <w:p w14:paraId="743E0B5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his anthropological language can invite a reading in which the constitutive role of the human Other begins to approach a causal role.</w:t>
      </w:r>
    </w:p>
    <w:p w14:paraId="0B464FF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question is whether this is necessary.</w:t>
      </w:r>
    </w:p>
    <w:p w14:paraId="2377841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more importantly: is it compatible with some of Zizioulas’s own deepest theological insights?</w:t>
      </w:r>
    </w:p>
    <w:p w14:paraId="3B131E67"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3. A Distinction: Cause and Communion</w:t>
      </w:r>
    </w:p>
    <w:p w14:paraId="67822A2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would propose a stricter distinction.</w:t>
      </w:r>
    </w:p>
    <w:p w14:paraId="0798517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am not the cause of my personal identity.</w:t>
      </w:r>
    </w:p>
    <w:p w14:paraId="7979412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it does not follow that you are its cause.</w:t>
      </w:r>
    </w:p>
    <w:p w14:paraId="3BC46A1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distinction becomes clearer when we turn from an abstract anthropology to Christology.</w:t>
      </w:r>
    </w:p>
    <w:p w14:paraId="79273C7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For Zizioulas, the new identity given in Baptism is grounded in Christ. Baptism involves the human being in the very filial relationship between the Son and the Father. In </w:t>
      </w:r>
      <w:r w:rsidRPr="00672599">
        <w:rPr>
          <w:rFonts w:ascii="Times New Roman" w:eastAsia="Times New Roman" w:hAnsi="Times New Roman" w:cs="Times New Roman"/>
          <w:i/>
          <w:iCs/>
          <w:kern w:val="0"/>
          <w:lang w:eastAsia="en-GB"/>
          <w14:ligatures w14:val="none"/>
        </w:rPr>
        <w:t>Remembering the Future</w:t>
      </w:r>
      <w:r w:rsidRPr="00672599">
        <w:rPr>
          <w:rFonts w:ascii="Times New Roman" w:eastAsia="Times New Roman" w:hAnsi="Times New Roman" w:cs="Times New Roman"/>
          <w:kern w:val="0"/>
          <w:lang w:eastAsia="en-GB"/>
          <w14:ligatures w14:val="none"/>
        </w:rPr>
        <w:t>, Zizioulas calls this filial relation the basis of our new identity.</w:t>
      </w:r>
    </w:p>
    <w:p w14:paraId="7148677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is crucial.</w:t>
      </w:r>
    </w:p>
    <w:p w14:paraId="01B63B3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My relation to the Father is not mediated ontologically by another human person. I do not first need another human being to make me a person and then, as such a person, enter into relation with God.</w:t>
      </w:r>
    </w:p>
    <w:p w14:paraId="47097D2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 the Son, through the Spirit, I am received into the filial relation to the Father.</w:t>
      </w:r>
    </w:p>
    <w:p w14:paraId="5212028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ultimate source of personal being therefore remains where Zizioulas’s Trinitarian ontology places it: in the Father.</w:t>
      </w:r>
    </w:p>
    <w:p w14:paraId="17F8C87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this immediately creates another danger. We could protect the monarchy of the Father at the price of communion. We could imagine salvation as an individual relation between God and myself, with other persons becoming secondary.</w:t>
      </w:r>
    </w:p>
    <w:p w14:paraId="3E2F76F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That would be even less </w:t>
      </w:r>
      <w:r w:rsidRPr="00D9739E">
        <w:rPr>
          <w:rFonts w:ascii="Times New Roman" w:eastAsia="Times New Roman" w:hAnsi="Times New Roman" w:cs="Times New Roman"/>
          <w:kern w:val="0"/>
          <w:highlight w:val="yellow"/>
          <w:lang w:eastAsia="en-GB"/>
          <w14:ligatures w14:val="none"/>
        </w:rPr>
        <w:t>Zizioulean</w:t>
      </w:r>
      <w:r w:rsidRPr="00672599">
        <w:rPr>
          <w:rFonts w:ascii="Times New Roman" w:eastAsia="Times New Roman" w:hAnsi="Times New Roman" w:cs="Times New Roman"/>
          <w:kern w:val="0"/>
          <w:lang w:eastAsia="en-GB"/>
          <w14:ligatures w14:val="none"/>
        </w:rPr>
        <w:t>.</w:t>
      </w:r>
    </w:p>
    <w:p w14:paraId="3DF4A81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answer, I suggest, appears most clearly in the eschatological and Eucharistic ontology of the later Zizioulas.</w:t>
      </w:r>
    </w:p>
    <w:p w14:paraId="6DE2696D"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4. Not “I Without You,” but Creation as a Whole</w:t>
      </w:r>
    </w:p>
    <w:p w14:paraId="21F3755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In </w:t>
      </w:r>
      <w:r w:rsidRPr="00672599">
        <w:rPr>
          <w:rFonts w:ascii="Times New Roman" w:eastAsia="Times New Roman" w:hAnsi="Times New Roman" w:cs="Times New Roman"/>
          <w:i/>
          <w:iCs/>
          <w:kern w:val="0"/>
          <w:lang w:eastAsia="en-GB"/>
          <w14:ligatures w14:val="none"/>
        </w:rPr>
        <w:t>Remembering the Future</w:t>
      </w:r>
      <w:r w:rsidRPr="00672599">
        <w:rPr>
          <w:rFonts w:ascii="Times New Roman" w:eastAsia="Times New Roman" w:hAnsi="Times New Roman" w:cs="Times New Roman"/>
          <w:kern w:val="0"/>
          <w:lang w:eastAsia="en-GB"/>
          <w14:ligatures w14:val="none"/>
        </w:rPr>
        <w:t>, salvation is not conceived as God saving isolated individuals and then bringing them together.</w:t>
      </w:r>
    </w:p>
    <w:p w14:paraId="13E9059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The object of salvation is creation itself.</w:t>
      </w:r>
    </w:p>
    <w:p w14:paraId="6D881EC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Creation must be recapitulated in Christ.</w:t>
      </w:r>
    </w:p>
    <w:p w14:paraId="1A12EAC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Zizioulas says that creation secures its </w:t>
      </w:r>
      <w:r w:rsidRPr="00672599">
        <w:rPr>
          <w:rFonts w:ascii="Times New Roman" w:eastAsia="Times New Roman" w:hAnsi="Times New Roman" w:cs="Times New Roman"/>
          <w:i/>
          <w:iCs/>
          <w:kern w:val="0"/>
          <w:lang w:eastAsia="en-GB"/>
          <w14:ligatures w14:val="none"/>
        </w:rPr>
        <w:t>ever-being</w:t>
      </w:r>
      <w:r w:rsidRPr="00672599">
        <w:rPr>
          <w:rFonts w:ascii="Times New Roman" w:eastAsia="Times New Roman" w:hAnsi="Times New Roman" w:cs="Times New Roman"/>
          <w:kern w:val="0"/>
          <w:lang w:eastAsia="en-GB"/>
          <w14:ligatures w14:val="none"/>
        </w:rPr>
        <w:t xml:space="preserve"> by becoming the Body of Christ. Theosis is not an individual possession or quality. It is an event of communion. The whole creation becomes Eucharist: the Body of Christ offered to the Father.</w:t>
      </w:r>
    </w:p>
    <w:p w14:paraId="62C6A133"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changes the question.</w:t>
      </w:r>
    </w:p>
    <w:p w14:paraId="7922FC7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question is no longer:</w:t>
      </w:r>
    </w:p>
    <w:p w14:paraId="4E3D34E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Do I need you in order to be myself?</w:t>
      </w:r>
    </w:p>
    <w:p w14:paraId="1D22841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becomes:</w:t>
      </w:r>
    </w:p>
    <w:p w14:paraId="5033275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Can I understand my eschatological fulfilment apart from you and from the creation of which we both belong?</w:t>
      </w:r>
    </w:p>
    <w:p w14:paraId="557960D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answer is no.</w:t>
      </w:r>
    </w:p>
    <w:p w14:paraId="2C85EED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this “no” is very different from saying that you cause my personal identity.</w:t>
      </w:r>
    </w:p>
    <w:p w14:paraId="29280E1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human Other is not necessary in order for me to have the Father.</w:t>
      </w:r>
    </w:p>
    <w:p w14:paraId="00B232E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human Other is necessary because the Father does not will my isolated fulfilment. Creation is recapitulated in the Son as a whole.</w:t>
      </w:r>
    </w:p>
    <w:p w14:paraId="4F5661A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Eucharist makes this visible.</w:t>
      </w:r>
    </w:p>
    <w:p w14:paraId="3FED89A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Zizioulas describes it as the gathering of the dispersed people of God and, through them, the unity of all creation in Christ. The Eucharist does not anticipate the eschatological destiny of humanity alone. It embraces creation in its totality.</w:t>
      </w:r>
    </w:p>
    <w:p w14:paraId="16C5C6B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And the movement is Trinitarian: creation is offered </w:t>
      </w:r>
      <w:r w:rsidRPr="00672599">
        <w:rPr>
          <w:rFonts w:ascii="Times New Roman" w:eastAsia="Times New Roman" w:hAnsi="Times New Roman" w:cs="Times New Roman"/>
          <w:b/>
          <w:bCs/>
          <w:kern w:val="0"/>
          <w:lang w:eastAsia="en-GB"/>
          <w14:ligatures w14:val="none"/>
        </w:rPr>
        <w:t>to the Father, by Christ, in the Spirit</w:t>
      </w:r>
      <w:r w:rsidRPr="00672599">
        <w:rPr>
          <w:rFonts w:ascii="Times New Roman" w:eastAsia="Times New Roman" w:hAnsi="Times New Roman" w:cs="Times New Roman"/>
          <w:kern w:val="0"/>
          <w:lang w:eastAsia="en-GB"/>
          <w14:ligatures w14:val="none"/>
        </w:rPr>
        <w:t>.</w:t>
      </w:r>
    </w:p>
    <w:p w14:paraId="3C665E6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Here, I think, we find a more precise way to understand the necessity of the Other.</w:t>
      </w:r>
    </w:p>
    <w:p w14:paraId="3E3FBD0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do not need you as the ontological source of my “who.”</w:t>
      </w:r>
    </w:p>
    <w:p w14:paraId="2E429C5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do not need you as a mediator who makes my filial relation to the Father possible.</w:t>
      </w:r>
    </w:p>
    <w:p w14:paraId="4C7397C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I cannot say to the Father:</w:t>
      </w:r>
    </w:p>
    <w:p w14:paraId="0993A583"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accept your Kingdom, but without him.</w:t>
      </w:r>
    </w:p>
    <w:p w14:paraId="004146B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Or:</w:t>
      </w:r>
    </w:p>
    <w:p w14:paraId="6343AAA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want eternal life, but I am indifferent to whether she is there.</w:t>
      </w:r>
    </w:p>
    <w:p w14:paraId="35F7D63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This would contradict the very form of the eschatological existence that I claim to desire.</w:t>
      </w:r>
    </w:p>
    <w:p w14:paraId="7FE2C22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Perhaps the simplest liturgical expression of this is already contained in two words:</w:t>
      </w:r>
    </w:p>
    <w:p w14:paraId="393ED31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Our Father.</w:t>
      </w:r>
    </w:p>
    <w:p w14:paraId="3A3413E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Not because the Father cannot be my Father unless another human being first gives me my identity.</w:t>
      </w:r>
    </w:p>
    <w:p w14:paraId="7AEC983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because filial existence in the Son cannot finally be imagined as private possession.</w:t>
      </w:r>
    </w:p>
    <w:p w14:paraId="6198C6F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Christ does not bring isolated selves to the Father. He recapitulates creation in himself.</w:t>
      </w:r>
    </w:p>
    <w:p w14:paraId="3D156F69"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5. The Other as Responsibility, Not as Cause</w:t>
      </w:r>
    </w:p>
    <w:p w14:paraId="7A5FD0C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allows us to say something stronger about the human Other without making the Other my cause.</w:t>
      </w:r>
    </w:p>
    <w:p w14:paraId="48D966F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Other is entrusted to me.</w:t>
      </w:r>
    </w:p>
    <w:p w14:paraId="5750EC1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Indeed, creation itself is entrusted to humanity.</w:t>
      </w:r>
    </w:p>
    <w:p w14:paraId="567F56E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Zizioulas describes the human being as the “priest of creation.” Humanity is the mouth through which creation gives thanks and glory to its Creator. Its priestly ministry is to unite creation, heal its divisions, and refer it back to God.</w:t>
      </w:r>
    </w:p>
    <w:p w14:paraId="6E35962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is not individualism.</w:t>
      </w:r>
    </w:p>
    <w:p w14:paraId="18CD9BB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Quite the contrary.</w:t>
      </w:r>
    </w:p>
    <w:p w14:paraId="22DBEE5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places upon the human person a responsibility far greater than the need to secure his or her own identity.</w:t>
      </w:r>
    </w:p>
    <w:p w14:paraId="6A5322D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decisive difference is this:</w:t>
      </w:r>
    </w:p>
    <w:p w14:paraId="126BBA5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The Other is not necessary because without the Other I cannot be myself. The Other is necessary because I cannot separate my final destiny from the destiny of the Other.</w:t>
      </w:r>
    </w:p>
    <w:p w14:paraId="49D9671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would therefore hesitate even to describe the Other simply as a “part” of a whole. A person is not a fragment dissolved into a totality. One of Zizioulas’s greatest contributions is precisely his insistence that communion and otherness must coincide.</w:t>
      </w:r>
    </w:p>
    <w:p w14:paraId="3454A703"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eschatological whole must therefore be a whole in which particularity is not abolished.</w:t>
      </w:r>
    </w:p>
    <w:p w14:paraId="2E97E6C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many do not disappear into the One.</w:t>
      </w:r>
    </w:p>
    <w:p w14:paraId="147CF4C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the One does not exist by excluding the many.</w:t>
      </w:r>
    </w:p>
    <w:p w14:paraId="18C633C8"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Body of Christ gives us another grammar: unity without the destruction of uniqueness.</w:t>
      </w:r>
    </w:p>
    <w:p w14:paraId="06BD44D2"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lastRenderedPageBreak/>
        <w:t>6. When Communion Becomes Necessity</w:t>
      </w:r>
    </w:p>
    <w:p w14:paraId="2605D28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Why does this distinction matter?</w:t>
      </w:r>
    </w:p>
    <w:p w14:paraId="48696AC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Because if another human person becomes the source of my personal identity, love acquires a dangerous possibility.</w:t>
      </w:r>
    </w:p>
    <w:p w14:paraId="0F31BB1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I am who I am because you love me, what happens when you cease to love me?</w:t>
      </w:r>
    </w:p>
    <w:p w14:paraId="01E4468B"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your relation gives me my unique identity, what happens when you leave?</w:t>
      </w:r>
    </w:p>
    <w:p w14:paraId="2D72F16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I need you in order to be myself, can I truly allow you to be free from me?</w:t>
      </w:r>
    </w:p>
    <w:p w14:paraId="2DA3CB0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Here the language of love can unexpectedly become the language of necessity.</w:t>
      </w:r>
    </w:p>
    <w:p w14:paraId="7FB05E0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Other who was supposed to liberate me from the prison of the self can become another necessity.</w:t>
      </w:r>
    </w:p>
    <w:p w14:paraId="2C14ED6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necessity can become possession.</w:t>
      </w:r>
    </w:p>
    <w:p w14:paraId="39E3F8E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may say:</w:t>
      </w:r>
    </w:p>
    <w:p w14:paraId="79D0C57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You must remain, because without you I am no longer myself.</w:t>
      </w:r>
    </w:p>
    <w:p w14:paraId="5934DA6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can sound like the highest declaration of love.</w:t>
      </w:r>
    </w:p>
    <w:p w14:paraId="5BAC39E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Ontologically, however, it may contain a demand.</w:t>
      </w:r>
    </w:p>
    <w:p w14:paraId="79351BA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have placed upon another created person a responsibility that no created person can bear: the responsibility to sustain my personal being.</w:t>
      </w:r>
    </w:p>
    <w:p w14:paraId="0572578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problem is therefore deeper than emotional dependence.</w:t>
      </w:r>
    </w:p>
    <w:p w14:paraId="0E9537C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concerns freedom.</w:t>
      </w:r>
    </w:p>
    <w:p w14:paraId="0D8A982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your existence is required in order to secure my identity, I have an ontological interest in preventing you from becoming too other.</w:t>
      </w:r>
    </w:p>
    <w:p w14:paraId="18FCD4F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Your freedom begins to threaten my identity.</w:t>
      </w:r>
    </w:p>
    <w:p w14:paraId="36838AD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Your change threatens me.</w:t>
      </w:r>
    </w:p>
    <w:p w14:paraId="6F71EB9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Your departure threatens me.</w:t>
      </w:r>
    </w:p>
    <w:p w14:paraId="0066D98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Even your death threatens not only my happiness, but who I am.</w:t>
      </w:r>
    </w:p>
    <w:p w14:paraId="04B36D8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Other whom I wished to affirm as Other can thus become the person whom I cannot afford to lose.</w:t>
      </w:r>
    </w:p>
    <w:p w14:paraId="727CAB7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Paradoxically, an ontology intended to protect otherness can, if interpersonal causality is taken too literally, provide the conceptual possibility for the opposite.</w:t>
      </w:r>
    </w:p>
    <w:p w14:paraId="33CA753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is why the monarchy of the Father matters anthropologically.</w:t>
      </w:r>
    </w:p>
    <w:p w14:paraId="78FEA9A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does not diminish the Other.</w:t>
      </w:r>
    </w:p>
    <w:p w14:paraId="2FF56FED" w14:textId="5C3914BF" w:rsidR="0061588C" w:rsidRDefault="00DC71A0" w:rsidP="0061588C">
      <w:pPr>
        <w:pStyle w:val="NormalWeb"/>
      </w:pPr>
      <w:r w:rsidRPr="00672599">
        <w:t xml:space="preserve">It </w:t>
      </w:r>
      <w:r w:rsidRPr="00672599">
        <w:rPr>
          <w:b/>
          <w:bCs/>
        </w:rPr>
        <w:t>liberates the Other from having to be my God</w:t>
      </w:r>
      <w:r w:rsidRPr="00672599">
        <w:t>.</w:t>
      </w:r>
      <w:r w:rsidR="0061588C">
        <w:t xml:space="preserve"> </w:t>
      </w:r>
      <w:r w:rsidR="0061588C">
        <w:br/>
      </w:r>
      <w:r w:rsidR="0061588C">
        <w:t xml:space="preserve">This danger brings to mind Yorgos Lanthimos’s film </w:t>
      </w:r>
      <w:r w:rsidR="0061588C">
        <w:rPr>
          <w:rStyle w:val="Emphasis"/>
        </w:rPr>
        <w:t>The Lobster</w:t>
      </w:r>
      <w:r w:rsidR="0061588C">
        <w:t>, where the need to be in a relationship becomes a condition of existence, turning love from a free encounter into an obligation.</w:t>
      </w:r>
    </w:p>
    <w:p w14:paraId="5E4CE033" w14:textId="1B941605" w:rsidR="00DC71A0" w:rsidRPr="0061588C" w:rsidRDefault="0061588C" w:rsidP="0061588C">
      <w:pPr>
        <w:spacing w:before="100" w:beforeAutospacing="1" w:after="100" w:afterAutospacing="1"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sz w:val="36"/>
          <w:szCs w:val="36"/>
          <w:lang w:eastAsia="en-GB"/>
          <w14:ligatures w14:val="none"/>
        </w:rPr>
        <w:t>7</w:t>
      </w:r>
      <w:r w:rsidR="00DC71A0" w:rsidRPr="00672599">
        <w:rPr>
          <w:rFonts w:ascii="Times New Roman" w:eastAsia="Times New Roman" w:hAnsi="Times New Roman" w:cs="Times New Roman"/>
          <w:b/>
          <w:bCs/>
          <w:kern w:val="0"/>
          <w:sz w:val="36"/>
          <w:szCs w:val="36"/>
          <w:lang w:eastAsia="en-GB"/>
          <w14:ligatures w14:val="none"/>
        </w:rPr>
        <w:t>. From Self-Sufficiency to Responsibility</w:t>
      </w:r>
    </w:p>
    <w:p w14:paraId="4641E0C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does this return us to the autonomous self?</w:t>
      </w:r>
    </w:p>
    <w:p w14:paraId="685889A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the Other does not cause my personal identity, have we not simply restored the self-sufficient individual?</w:t>
      </w:r>
    </w:p>
    <w:p w14:paraId="27A6C72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No.</w:t>
      </w:r>
    </w:p>
    <w:p w14:paraId="443409E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here the later Zizioulas again offers the answer.</w:t>
      </w:r>
    </w:p>
    <w:p w14:paraId="1B6D974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In </w:t>
      </w:r>
      <w:r w:rsidRPr="00672599">
        <w:rPr>
          <w:rFonts w:ascii="Times New Roman" w:eastAsia="Times New Roman" w:hAnsi="Times New Roman" w:cs="Times New Roman"/>
          <w:i/>
          <w:iCs/>
          <w:kern w:val="0"/>
          <w:lang w:eastAsia="en-GB"/>
          <w14:ligatures w14:val="none"/>
        </w:rPr>
        <w:t>Remembering the Future</w:t>
      </w:r>
      <w:r w:rsidRPr="00672599">
        <w:rPr>
          <w:rFonts w:ascii="Times New Roman" w:eastAsia="Times New Roman" w:hAnsi="Times New Roman" w:cs="Times New Roman"/>
          <w:kern w:val="0"/>
          <w:lang w:eastAsia="en-GB"/>
          <w14:ligatures w14:val="none"/>
        </w:rPr>
        <w:t xml:space="preserve">, Christ recapitulates creation in his person and leads it through the Cross, which Zizioulas strikingly describes as the </w:t>
      </w:r>
      <w:r w:rsidRPr="00672599">
        <w:rPr>
          <w:rFonts w:ascii="Times New Roman" w:eastAsia="Times New Roman" w:hAnsi="Times New Roman" w:cs="Times New Roman"/>
          <w:b/>
          <w:bCs/>
          <w:kern w:val="0"/>
          <w:lang w:eastAsia="en-GB"/>
          <w14:ligatures w14:val="none"/>
        </w:rPr>
        <w:t>“death of self-sufficiency,”</w:t>
      </w:r>
      <w:r w:rsidRPr="00672599">
        <w:rPr>
          <w:rFonts w:ascii="Times New Roman" w:eastAsia="Times New Roman" w:hAnsi="Times New Roman" w:cs="Times New Roman"/>
          <w:kern w:val="0"/>
          <w:lang w:eastAsia="en-GB"/>
          <w14:ligatures w14:val="none"/>
        </w:rPr>
        <w:t xml:space="preserve"> into resurrection and everlasting life.</w:t>
      </w:r>
    </w:p>
    <w:p w14:paraId="56503708"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Self-sufficiency must die.</w:t>
      </w:r>
    </w:p>
    <w:p w14:paraId="5E5C245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there are at least two ways of denying self-sufficiency.</w:t>
      </w:r>
    </w:p>
    <w:p w14:paraId="0FEC0AA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One is to say:</w:t>
      </w:r>
    </w:p>
    <w:p w14:paraId="6D61A71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cannot be without you because you give me myself.</w:t>
      </w:r>
    </w:p>
    <w:p w14:paraId="565347C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other is to say:</w:t>
      </w:r>
    </w:p>
    <w:p w14:paraId="53F5D99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receive myself from the Father in the Son, and therefore I am free to refuse an eternity that excludes you.</w:t>
      </w:r>
    </w:p>
    <w:p w14:paraId="19A93B18"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These are not the same ontology.</w:t>
      </w:r>
    </w:p>
    <w:p w14:paraId="0C4CB4E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 the first, my incompleteness makes the Other necessary for me.</w:t>
      </w:r>
    </w:p>
    <w:p w14:paraId="75C4C9B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 the second, communion makes me responsible for the Other.</w:t>
      </w:r>
    </w:p>
    <w:p w14:paraId="197AB25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first can turn relation into ontological dependence.</w:t>
      </w:r>
    </w:p>
    <w:p w14:paraId="1317A29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The second turns personal existence outward, towards the eschatological wholeness of creation.</w:t>
      </w:r>
    </w:p>
    <w:p w14:paraId="0CC6756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Thus the alternative to self-sufficiency is not interpersonal causation.</w:t>
      </w:r>
    </w:p>
    <w:p w14:paraId="3492700B"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is Eucharistic existence.</w:t>
      </w:r>
    </w:p>
    <w:p w14:paraId="70E1335B"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human being does not overcome the self by finding another human being who will become the source of the self.</w:t>
      </w:r>
    </w:p>
    <w:p w14:paraId="0A7C105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self is overcome when existence is received as gift from the Father and returned, with the whole creation, to the Father through the Son in the Holy Spirit.</w:t>
      </w:r>
    </w:p>
    <w:p w14:paraId="548B8AD5" w14:textId="5339DFCC" w:rsidR="00DC71A0" w:rsidRPr="00672599" w:rsidRDefault="0061588C"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Pr>
          <w:rFonts w:ascii="Times New Roman" w:eastAsia="Times New Roman" w:hAnsi="Times New Roman" w:cs="Times New Roman"/>
          <w:b/>
          <w:bCs/>
          <w:kern w:val="0"/>
          <w:sz w:val="36"/>
          <w:szCs w:val="36"/>
          <w:lang w:eastAsia="en-GB"/>
          <w14:ligatures w14:val="none"/>
        </w:rPr>
        <w:t>8</w:t>
      </w:r>
      <w:r w:rsidR="00DC71A0" w:rsidRPr="00672599">
        <w:rPr>
          <w:rFonts w:ascii="Times New Roman" w:eastAsia="Times New Roman" w:hAnsi="Times New Roman" w:cs="Times New Roman"/>
          <w:b/>
          <w:bCs/>
          <w:kern w:val="0"/>
          <w:sz w:val="36"/>
          <w:szCs w:val="36"/>
          <w:lang w:eastAsia="en-GB"/>
          <w14:ligatures w14:val="none"/>
        </w:rPr>
        <w:t>. Quasi-Causality Reconsidered</w:t>
      </w:r>
    </w:p>
    <w:p w14:paraId="0859F42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We can now return to the term “quasi-causality.”</w:t>
      </w:r>
    </w:p>
    <w:p w14:paraId="7DF96AA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use it cautiously.</w:t>
      </w:r>
    </w:p>
    <w:p w14:paraId="647CFEE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It does not mean that Zizioulas formally attributes divine </w:t>
      </w:r>
      <w:r w:rsidRPr="00672599">
        <w:rPr>
          <w:rFonts w:ascii="Times New Roman" w:eastAsia="Times New Roman" w:hAnsi="Times New Roman" w:cs="Times New Roman"/>
          <w:i/>
          <w:iCs/>
          <w:kern w:val="0"/>
          <w:lang w:eastAsia="en-GB"/>
          <w14:ligatures w14:val="none"/>
        </w:rPr>
        <w:t>aitia</w:t>
      </w:r>
      <w:r w:rsidRPr="00672599">
        <w:rPr>
          <w:rFonts w:ascii="Times New Roman" w:eastAsia="Times New Roman" w:hAnsi="Times New Roman" w:cs="Times New Roman"/>
          <w:kern w:val="0"/>
          <w:lang w:eastAsia="en-GB"/>
          <w14:ligatures w14:val="none"/>
        </w:rPr>
        <w:t xml:space="preserve"> to human persons.</w:t>
      </w:r>
    </w:p>
    <w:p w14:paraId="2A4CB2C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names a possible ambiguity.</w:t>
      </w:r>
    </w:p>
    <w:p w14:paraId="5B73264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 xml:space="preserve">When the language of recognition becomes the language of giving identity; when love is said to “cause” unique identity; when the beloved receives his or her uniqueness from being the beloved of another; the distinction between </w:t>
      </w:r>
      <w:r w:rsidRPr="00672599">
        <w:rPr>
          <w:rFonts w:ascii="Times New Roman" w:eastAsia="Times New Roman" w:hAnsi="Times New Roman" w:cs="Times New Roman"/>
          <w:b/>
          <w:bCs/>
          <w:kern w:val="0"/>
          <w:lang w:eastAsia="en-GB"/>
          <w14:ligatures w14:val="none"/>
        </w:rPr>
        <w:t>relational manifestation</w:t>
      </w:r>
      <w:r w:rsidRPr="00672599">
        <w:rPr>
          <w:rFonts w:ascii="Times New Roman" w:eastAsia="Times New Roman" w:hAnsi="Times New Roman" w:cs="Times New Roman"/>
          <w:kern w:val="0"/>
          <w:lang w:eastAsia="en-GB"/>
          <w14:ligatures w14:val="none"/>
        </w:rPr>
        <w:t xml:space="preserve"> and </w:t>
      </w:r>
      <w:r w:rsidRPr="00672599">
        <w:rPr>
          <w:rFonts w:ascii="Times New Roman" w:eastAsia="Times New Roman" w:hAnsi="Times New Roman" w:cs="Times New Roman"/>
          <w:b/>
          <w:bCs/>
          <w:kern w:val="0"/>
          <w:lang w:eastAsia="en-GB"/>
          <w14:ligatures w14:val="none"/>
        </w:rPr>
        <w:t>ontological causation</w:t>
      </w:r>
      <w:r w:rsidRPr="00672599">
        <w:rPr>
          <w:rFonts w:ascii="Times New Roman" w:eastAsia="Times New Roman" w:hAnsi="Times New Roman" w:cs="Times New Roman"/>
          <w:kern w:val="0"/>
          <w:lang w:eastAsia="en-GB"/>
          <w14:ligatures w14:val="none"/>
        </w:rPr>
        <w:t xml:space="preserve"> can become unstable.</w:t>
      </w:r>
    </w:p>
    <w:p w14:paraId="6B8F5AA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My proposal is not to remove these passages from Zizioulas.</w:t>
      </w:r>
    </w:p>
    <w:p w14:paraId="7595F76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Nor is it to weaken his insistence that there is no true personhood without communion.</w:t>
      </w:r>
    </w:p>
    <w:p w14:paraId="154248B3"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is to read them through a stricter distinction that I believe other elements of his own theology require.</w:t>
      </w:r>
    </w:p>
    <w:p w14:paraId="2AEBB9B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Father is the ultimate source of personal being.</w:t>
      </w:r>
    </w:p>
    <w:p w14:paraId="30418923"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In the Son, humanity is admitted into the filial relation to the Father.</w:t>
      </w:r>
    </w:p>
    <w:p w14:paraId="5D36D8C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Spirit liberates this existence from closure and gathers creation eschatologically into communion.</w:t>
      </w:r>
    </w:p>
    <w:p w14:paraId="1C266A8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human persons do not give one another hypostatic existence.</w:t>
      </w:r>
    </w:p>
    <w:p w14:paraId="08D1DE5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They receive one another as those whom God refuses to lose.</w:t>
      </w:r>
    </w:p>
    <w:p w14:paraId="764C726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This last formulation may take us beyond what Zizioulas explicitly says. I offer it as a possible development of his ontology, not as a quotation from him.</w:t>
      </w:r>
    </w:p>
    <w:p w14:paraId="6DCD7A02"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lastRenderedPageBreak/>
        <w:t>It would mean that the deepest form of human recognition is not:</w:t>
      </w:r>
    </w:p>
    <w:p w14:paraId="7ECE9F8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You are because I love you.</w:t>
      </w:r>
    </w:p>
    <w:p w14:paraId="57CAE12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is:</w:t>
      </w:r>
    </w:p>
    <w:p w14:paraId="1D2D3AD0"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love you because your being does not originate in me and therefore does not belong to me.</w:t>
      </w:r>
    </w:p>
    <w:p w14:paraId="6B3611A1"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precisely for that reason:</w:t>
      </w:r>
    </w:p>
    <w:p w14:paraId="144F460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I cannot desire my final communion with God while accepting your exclusion from it.</w:t>
      </w:r>
    </w:p>
    <w:p w14:paraId="403F1E3D" w14:textId="77777777" w:rsidR="00DC71A0" w:rsidRPr="00672599" w:rsidRDefault="00DC71A0" w:rsidP="00DC71A0">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672599">
        <w:rPr>
          <w:rFonts w:ascii="Times New Roman" w:eastAsia="Times New Roman" w:hAnsi="Times New Roman" w:cs="Times New Roman"/>
          <w:b/>
          <w:bCs/>
          <w:kern w:val="0"/>
          <w:sz w:val="36"/>
          <w:szCs w:val="36"/>
          <w:lang w:eastAsia="en-GB"/>
          <w14:ligatures w14:val="none"/>
        </w:rPr>
        <w:t>Conclusion</w:t>
      </w:r>
    </w:p>
    <w:p w14:paraId="5077E8DE"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began with a question.</w:t>
      </w:r>
    </w:p>
    <w:p w14:paraId="232D7D4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I am not the cause of my personal identity, does it follow that another human person is its cause?</w:t>
      </w:r>
    </w:p>
    <w:p w14:paraId="232B73C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have suggested that it does not.</w:t>
      </w:r>
    </w:p>
    <w:p w14:paraId="55050CC7"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monarchy of the Father allows us to maintain a radical asymmetry between divine causality and human communion.</w:t>
      </w:r>
    </w:p>
    <w:p w14:paraId="3DC821A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But this asymmetry does not weaken relational ontology.</w:t>
      </w:r>
    </w:p>
    <w:p w14:paraId="41C105E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may actually protect it.</w:t>
      </w:r>
    </w:p>
    <w:p w14:paraId="250D164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do not need the Other in order to have the Father.</w:t>
      </w:r>
    </w:p>
    <w:p w14:paraId="021CC96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 do not receive my personal existence from the Other.</w:t>
      </w:r>
    </w:p>
    <w:p w14:paraId="2567814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Yet the Father whom I receive as Father is the Father of the Son in whom creation is recapitulated.</w:t>
      </w:r>
    </w:p>
    <w:p w14:paraId="0ED79395"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Spirit does not lead me into a private eternity.</w:t>
      </w:r>
    </w:p>
    <w:p w14:paraId="7F457F3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the Eucharist does not offer an isolated individual to God. It offers creation.</w:t>
      </w:r>
    </w:p>
    <w:p w14:paraId="282F2546"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Therefore the Christian answer to self-sufficiency is neither independence nor interpersonal dependence.</w:t>
      </w:r>
    </w:p>
    <w:p w14:paraId="33B5A74D"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It is communion.</w:t>
      </w:r>
    </w:p>
    <w:p w14:paraId="5AE009A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perhaps the distinction can finally be expressed in two sentences:</w:t>
      </w:r>
    </w:p>
    <w:p w14:paraId="5FDEBC28"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t>Without you, I do not cease to be myself.</w:t>
      </w:r>
    </w:p>
    <w:p w14:paraId="7EE533B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b/>
          <w:bCs/>
          <w:kern w:val="0"/>
          <w:lang w:eastAsia="en-GB"/>
          <w14:ligatures w14:val="none"/>
        </w:rPr>
        <w:lastRenderedPageBreak/>
        <w:t>But I refuse to imagine the Kingdom as the place where I can finally be myself without you.</w:t>
      </w:r>
    </w:p>
    <w:p w14:paraId="39FE67AC"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If this distinction is valid, then the monarchy of the Father and the necessity of the Other are not rivals.</w:t>
      </w:r>
    </w:p>
    <w:p w14:paraId="6FDC0A1F"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Father remains the source.</w:t>
      </w:r>
    </w:p>
    <w:p w14:paraId="677D42E4"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The Other remains irreducibly Other.</w:t>
      </w:r>
    </w:p>
    <w:p w14:paraId="4B7C19CA"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And communion becomes possible without turning love into necessity.</w:t>
      </w:r>
    </w:p>
    <w:p w14:paraId="72F648F9" w14:textId="77777777" w:rsidR="00DC71A0" w:rsidRPr="00672599" w:rsidRDefault="00DC71A0" w:rsidP="00DC71A0">
      <w:pPr>
        <w:spacing w:before="100" w:beforeAutospacing="1" w:after="100" w:afterAutospacing="1" w:line="240" w:lineRule="auto"/>
        <w:rPr>
          <w:rFonts w:ascii="Times New Roman" w:eastAsia="Times New Roman" w:hAnsi="Times New Roman" w:cs="Times New Roman"/>
          <w:kern w:val="0"/>
          <w:lang w:eastAsia="en-GB"/>
          <w14:ligatures w14:val="none"/>
        </w:rPr>
      </w:pPr>
      <w:r w:rsidRPr="00672599">
        <w:rPr>
          <w:rFonts w:ascii="Times New Roman" w:eastAsia="Times New Roman" w:hAnsi="Times New Roman" w:cs="Times New Roman"/>
          <w:kern w:val="0"/>
          <w:lang w:eastAsia="en-GB"/>
          <w14:ligatures w14:val="none"/>
        </w:rPr>
        <w:t>Perhaps this is one way of preserving what is most radical in Zizioulas: that personhood is gift, that freedom requires communion, and that communion is true only when the Other is allowed to remain truly Other.</w:t>
      </w:r>
    </w:p>
    <w:p w14:paraId="368EE3B7" w14:textId="77777777" w:rsidR="00DC71A0" w:rsidRPr="00672599" w:rsidRDefault="00DC71A0">
      <w:pPr>
        <w:rPr>
          <w:rFonts w:ascii="Times New Roman" w:hAnsi="Times New Roman" w:cs="Times New Roman"/>
        </w:rPr>
      </w:pPr>
    </w:p>
    <w:sectPr w:rsidR="00DC71A0" w:rsidRPr="006725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1A0"/>
    <w:rsid w:val="002A5A6A"/>
    <w:rsid w:val="0061588C"/>
    <w:rsid w:val="00672599"/>
    <w:rsid w:val="00D9739E"/>
    <w:rsid w:val="00DC71A0"/>
  </w:rsids>
  <m:mathPr>
    <m:mathFont m:val="Cambria Math"/>
    <m:brkBin m:val="before"/>
    <m:brkBinSub m:val="--"/>
    <m:smallFrac m:val="0"/>
    <m:dispDef/>
    <m:lMargin m:val="0"/>
    <m:rMargin m:val="0"/>
    <m:defJc m:val="centerGroup"/>
    <m:wrapIndent m:val="1440"/>
    <m:intLim m:val="subSup"/>
    <m:naryLim m:val="undOvr"/>
  </m:mathPr>
  <w:themeFontLang w:val="en-GE"/>
  <w:clrSchemeMapping w:bg1="light1" w:t1="dark1" w:bg2="light2" w:t2="dark2" w:accent1="accent1" w:accent2="accent2" w:accent3="accent3" w:accent4="accent4" w:accent5="accent5" w:accent6="accent6" w:hyperlink="hyperlink" w:followedHyperlink="followedHyperlink"/>
  <w:decimalSymbol w:val=","/>
  <w:listSeparator w:val=","/>
  <w14:docId w14:val="578B9769"/>
  <w15:chartTrackingRefBased/>
  <w15:docId w15:val="{793962F9-31E4-D14E-B5EE-3AE583D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71A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C71A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C71A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C71A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C71A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C71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71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71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71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1A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C71A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C71A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C71A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C71A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C71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71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71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71A0"/>
    <w:rPr>
      <w:rFonts w:eastAsiaTheme="majorEastAsia" w:cstheme="majorBidi"/>
      <w:color w:val="272727" w:themeColor="text1" w:themeTint="D8"/>
    </w:rPr>
  </w:style>
  <w:style w:type="paragraph" w:styleId="Title">
    <w:name w:val="Title"/>
    <w:basedOn w:val="Normal"/>
    <w:next w:val="Normal"/>
    <w:link w:val="TitleChar"/>
    <w:uiPriority w:val="10"/>
    <w:qFormat/>
    <w:rsid w:val="00DC71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71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71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71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71A0"/>
    <w:pPr>
      <w:spacing w:before="160"/>
      <w:jc w:val="center"/>
    </w:pPr>
    <w:rPr>
      <w:i/>
      <w:iCs/>
      <w:color w:val="404040" w:themeColor="text1" w:themeTint="BF"/>
    </w:rPr>
  </w:style>
  <w:style w:type="character" w:customStyle="1" w:styleId="QuoteChar">
    <w:name w:val="Quote Char"/>
    <w:basedOn w:val="DefaultParagraphFont"/>
    <w:link w:val="Quote"/>
    <w:uiPriority w:val="29"/>
    <w:rsid w:val="00DC71A0"/>
    <w:rPr>
      <w:i/>
      <w:iCs/>
      <w:color w:val="404040" w:themeColor="text1" w:themeTint="BF"/>
    </w:rPr>
  </w:style>
  <w:style w:type="paragraph" w:styleId="ListParagraph">
    <w:name w:val="List Paragraph"/>
    <w:basedOn w:val="Normal"/>
    <w:uiPriority w:val="34"/>
    <w:qFormat/>
    <w:rsid w:val="00DC71A0"/>
    <w:pPr>
      <w:ind w:left="720"/>
      <w:contextualSpacing/>
    </w:pPr>
  </w:style>
  <w:style w:type="character" w:styleId="IntenseEmphasis">
    <w:name w:val="Intense Emphasis"/>
    <w:basedOn w:val="DefaultParagraphFont"/>
    <w:uiPriority w:val="21"/>
    <w:qFormat/>
    <w:rsid w:val="00DC71A0"/>
    <w:rPr>
      <w:i/>
      <w:iCs/>
      <w:color w:val="2F5496" w:themeColor="accent1" w:themeShade="BF"/>
    </w:rPr>
  </w:style>
  <w:style w:type="paragraph" w:styleId="IntenseQuote">
    <w:name w:val="Intense Quote"/>
    <w:basedOn w:val="Normal"/>
    <w:next w:val="Normal"/>
    <w:link w:val="IntenseQuoteChar"/>
    <w:uiPriority w:val="30"/>
    <w:qFormat/>
    <w:rsid w:val="00DC71A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C71A0"/>
    <w:rPr>
      <w:i/>
      <w:iCs/>
      <w:color w:val="2F5496" w:themeColor="accent1" w:themeShade="BF"/>
    </w:rPr>
  </w:style>
  <w:style w:type="character" w:styleId="IntenseReference">
    <w:name w:val="Intense Reference"/>
    <w:basedOn w:val="DefaultParagraphFont"/>
    <w:uiPriority w:val="32"/>
    <w:qFormat/>
    <w:rsid w:val="00DC71A0"/>
    <w:rPr>
      <w:b/>
      <w:bCs/>
      <w:smallCaps/>
      <w:color w:val="2F5496" w:themeColor="accent1" w:themeShade="BF"/>
      <w:spacing w:val="5"/>
    </w:rPr>
  </w:style>
  <w:style w:type="paragraph" w:styleId="NormalWeb">
    <w:name w:val="Normal (Web)"/>
    <w:basedOn w:val="Normal"/>
    <w:uiPriority w:val="99"/>
    <w:semiHidden/>
    <w:unhideWhenUsed/>
    <w:rsid w:val="00DC71A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C71A0"/>
    <w:rPr>
      <w:i/>
      <w:iCs/>
    </w:rPr>
  </w:style>
  <w:style w:type="character" w:styleId="Strong">
    <w:name w:val="Strong"/>
    <w:basedOn w:val="DefaultParagraphFont"/>
    <w:uiPriority w:val="22"/>
    <w:qFormat/>
    <w:rsid w:val="00DC71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10</Pages>
  <Words>2395</Words>
  <Characters>13653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Macbook Air M1</dc:creator>
  <cp:keywords/>
  <dc:description/>
  <cp:lastModifiedBy>Macbook Air M1</cp:lastModifiedBy>
  <cp:revision>3</cp:revision>
  <dcterms:created xsi:type="dcterms:W3CDTF">2026-10-13T17:56:00Z</dcterms:created>
  <dcterms:modified xsi:type="dcterms:W3CDTF">2026-10-15T09:22:00Z</dcterms:modified>
</cp:coreProperties>
</file>